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sz w:val="36"/>
          <w:szCs w:val="36"/>
        </w:rPr>
        <w:t xml:space="preserve">Key Attributes of the seven components</w:t>
      </w:r>
    </w:p>
    <w:p>
      <w:pPr>
        <w:spacing w:after="80"/>
      </w:pPr>
      <w:r>
        <w:rPr>
          <w:i/>
          <w:iCs/>
          <w:color w:val="444444"/>
          <w:sz w:val="26"/>
          <w:szCs w:val="26"/>
        </w:rPr>
        <w:t xml:space="preserve">What healthy looks like, target by target</w:t>
      </w:r>
    </w:p>
    <w:p>
      <w:pPr>
        <w:spacing w:after="280"/>
      </w:pPr>
      <w:r>
        <w:rPr>
          <w:color w:val="666666"/>
        </w:rPr>
        <w:t xml:space="preserve">Internal — George + Sarah
</w:t>
      </w:r>
      <w:r>
        <w:rPr>
          <w:color w:val="666666"/>
        </w:rPr>
        <w:t xml:space="preserve">Drafted 27 May 2026 · companion to the seven-components document</w:t>
      </w:r>
    </w:p>
    <w:p>
      <w:pPr>
        <w:pBdr>
          <w:bottom w:val="single" w:color="BBBBBB" w:sz="6" w:space="6"/>
        </w:pBdr>
        <w:spacing w:after="200" w:before="120"/>
      </w:pPr>
      <w:r>
        <w:t xml:space="preserve"/>
      </w:r>
    </w:p>
    <w:p>
      <w:pPr>
        <w:pStyle w:val="Heading1"/>
        <w:spacing w:after="200" w:before="360"/>
      </w:pPr>
      <w:r>
        <w:t xml:space="preserve">What this is</w:t>
      </w:r>
    </w:p>
    <w:p>
      <w:pPr>
        <w:spacing w:after="160" w:line="320"/>
      </w:pPr>
      <w:r>
        <w:t xml:space="preserve">This document extends the seven-components framework by proposing, for each component, the small set of Key Attributes (KAs) whose impairment would degrade the component, together with the indicators that make each attribute measurable. The logic is borrowed from the Open Standards for the Practice of Conservation, where a Key Ecological Attribute is a characteristic of a target whose loss would mean the loss of the target itself. The conservation tradition pairs each KEA with one or more indicators, then with thresholds, then with goals.</w:t>
      </w:r>
    </w:p>
    <w:p>
      <w:pPr>
        <w:spacing w:after="160" w:line="320"/>
      </w:pPr>
      <w:r>
        <w:t xml:space="preserve">This draft holds at attributes and indicators. Thresholds (very good, good, fair, poor) are deliberately deferred. Setting them without a real place to calibrate against tends to produce ratings that are either too generic to be useful or too presumptuous to defend. The thresholds belong in the next phase, when the framework is applied to a specific neighborhood and the cohort or the client can help calibrate.</w:t>
      </w:r>
    </w:p>
    <w:p>
      <w:pPr>
        <w:spacing w:after="160" w:line="320"/>
      </w:pPr>
      <w:r>
        <w:t xml:space="preserve">The aggregation logic is the conservation logic: a component is healthy when its key attributes are functioning. A neighborhood is thriving when all seven components are healthy. Where a component is weak, the attributes show where. Where the attributes are weak, the indicators show what to look at. Where the indicators cannot be measured yet, the document flags that as a development task rather than hiding it.</w:t>
      </w:r>
    </w:p>
    <w:p>
      <w:pPr>
        <w:pBdr>
          <w:bottom w:val="single" w:color="BBBBBB" w:sz="6" w:space="6"/>
        </w:pBdr>
        <w:spacing w:after="200" w:before="120"/>
      </w:pPr>
      <w:r>
        <w:t xml:space="preserve"/>
      </w:r>
    </w:p>
    <w:p>
      <w:pPr>
        <w:pStyle w:val="Heading1"/>
        <w:spacing w:after="200" w:before="360"/>
      </w:pPr>
      <w:r>
        <w:t xml:space="preserve">Three discipline points</w:t>
      </w:r>
    </w:p>
    <w:p>
      <w:pPr>
        <w:spacing w:after="160" w:line="320"/>
      </w:pPr>
      <w:r>
        <w:t xml:space="preserve">The document holds to three rules. They are not stylistic preferences. The Open Standards tradition is strict about them because skipping them produces frameworks that look comprehensive but lose diagnostic power.</w:t>
      </w:r>
    </w:p>
    <w:p>
      <w:pPr>
        <w:spacing w:after="160" w:line="320"/>
      </w:pPr>
      <w:r>
        <w:rPr>
          <w:b/>
          <w:bCs/>
        </w:rPr>
        <w:t xml:space="preserve">The impairment test. </w:t>
      </w:r>
      <w:r>
        <w:t xml:space="preserve">An attribute is included only if its degradation would cause real loss to the component. If something is just “another good thing,” it is not a KA. The test is whether the component could remain healthy without it. If yes, leave it out.</w:t>
      </w:r>
    </w:p>
    <w:p>
      <w:pPr>
        <w:spacing w:after="160" w:line="320"/>
      </w:pPr>
      <w:r>
        <w:rPr>
          <w:b/>
          <w:bCs/>
        </w:rPr>
        <w:t xml:space="preserve">The measurability test. </w:t>
      </w:r>
      <w:r>
        <w:t xml:space="preserve">Each indicator is something that can be observed, counted, or surveyed. “A strong sense of belonging” is not an indicator; “proportion of residents reporting they would call a neighbor for help” is. Where an indicator cannot yet be operationalized, that is named as a development task, not papered over.</w:t>
      </w:r>
    </w:p>
    <w:p>
      <w:pPr>
        <w:spacing w:after="160" w:line="320"/>
      </w:pPr>
      <w:r>
        <w:rPr>
          <w:b/>
          <w:bCs/>
        </w:rPr>
        <w:t xml:space="preserve">No aspirations dressed as attributes. </w:t>
      </w:r>
      <w:r>
        <w:t xml:space="preserve">Attributes describe what healthy looks like, not what ideal would look like. “Every resident feels deeply known by every other resident” is an aspiration. “Median resident can name at least eight neighbors within a quarter mile” is an attribute with a calibratable indicator. The framework loses its diagnostic value the moment it conflates the two.</w:t>
      </w:r>
    </w:p>
    <w:p>
      <w:pPr>
        <w:pBdr>
          <w:bottom w:val="single" w:color="BBBBBB" w:sz="6" w:space="6"/>
        </w:pBdr>
        <w:spacing w:after="200" w:before="120"/>
      </w:pPr>
      <w:r>
        <w:t xml:space="preserve"/>
      </w:r>
    </w:p>
    <w:p>
      <w:pPr>
        <w:pStyle w:val="Heading1"/>
        <w:spacing w:after="200" w:before="360"/>
      </w:pPr>
      <w:r>
        <w:t xml:space="preserve">The seven, with their key attributes</w:t>
      </w:r>
    </w:p>
    <w:p>
      <w:pPr>
        <w:pStyle w:val="Heading2"/>
        <w:spacing w:after="140" w:before="320"/>
      </w:pPr>
      <w:r>
        <w:t xml:space="preserve">1. Place and built environment</w:t>
      </w:r>
    </w:p>
    <w:p>
      <w:pPr>
        <w:spacing w:after="160" w:line="320"/>
      </w:pPr>
      <w:r>
        <w:t xml:space="preserve">The physical and ecological substrate. Healthy when the place supports the relational and rhythmic life the other components require, when it includes rather than fragments, and when its more-than-human dimensions are intact.</w:t>
      </w:r>
    </w:p>
    <w:p>
      <w:pPr>
        <w:spacing w:after="60" w:before="180" w:line="320"/>
      </w:pPr>
      <w:r>
        <w:rPr>
          <w:b/>
          <w:bCs/>
          <w:color w:val="0C7A7A"/>
        </w:rPr>
        <w:t xml:space="preserve">Walkable shared infrastructure</w:t>
      </w:r>
      <w:r>
        <w:t xml:space="preserve"> — </w:t>
      </w:r>
      <w:r>
        <w:t xml:space="preserve">The built features that allow people to encounter each other on foot and gather in public.</w:t>
      </w:r>
    </w:p>
    <w:p>
      <w:pPr>
        <w:spacing w:after="60" w:line="300"/>
        <w:ind w:left="360"/>
      </w:pPr>
      <w:r>
        <w:rPr>
          <w:i/>
          <w:iCs/>
        </w:rPr>
        <w:t xml:space="preserve">Indicators:</w:t>
      </w:r>
    </w:p>
    <w:p>
      <w:pPr>
        <w:pStyle w:val="ListParagraph"/>
        <w:numPr>
          <w:ilvl w:val="1"/>
          <w:numId w:val="2"/>
        </w:numPr>
        <w:spacing w:after="60" w:line="300"/>
      </w:pPr>
      <w:r>
        <w:t xml:space="preserve">Density of sidewalks and safe pedestrian routes within the boundary (linear feet per acre, or proportion of street miles with continuous sidewalk).</w:t>
      </w:r>
    </w:p>
    <w:p>
      <w:pPr>
        <w:pStyle w:val="ListParagraph"/>
        <w:numPr>
          <w:ilvl w:val="1"/>
          <w:numId w:val="2"/>
        </w:numPr>
        <w:spacing w:after="60" w:line="300"/>
      </w:pPr>
      <w:r>
        <w:t xml:space="preserve">Number and accessibility of third places (parks, libraries, gathering spots, public plazas) per 1,000 residents.</w:t>
      </w:r>
    </w:p>
    <w:p>
      <w:pPr>
        <w:pStyle w:val="ListParagraph"/>
        <w:numPr>
          <w:ilvl w:val="1"/>
          <w:numId w:val="2"/>
        </w:numPr>
        <w:spacing w:after="60" w:line="300"/>
      </w:pPr>
      <w:r>
        <w:t xml:space="preserve">Transit access to and from the place (frequency, reach, fare-equity).</w:t>
      </w:r>
    </w:p>
    <w:p>
      <w:pPr>
        <w:spacing w:after="60" w:before="180" w:line="320"/>
      </w:pPr>
      <w:r>
        <w:rPr>
          <w:b/>
          <w:bCs/>
          <w:color w:val="0C7A7A"/>
        </w:rPr>
        <w:t xml:space="preserve">Intactness of natural and ecological features</w:t>
      </w:r>
      <w:r>
        <w:t xml:space="preserve"> — </w:t>
      </w:r>
      <w:r>
        <w:t xml:space="preserve">The condition of the more-than-human dimensions of place — water, soil, canopy, biodiversity.</w:t>
      </w:r>
    </w:p>
    <w:p>
      <w:pPr>
        <w:spacing w:after="60" w:line="300"/>
        <w:ind w:left="360"/>
      </w:pPr>
      <w:r>
        <w:rPr>
          <w:i/>
          <w:iCs/>
        </w:rPr>
        <w:t xml:space="preserve">Indicators:</w:t>
      </w:r>
    </w:p>
    <w:p>
      <w:pPr>
        <w:pStyle w:val="ListParagraph"/>
        <w:numPr>
          <w:ilvl w:val="1"/>
          <w:numId w:val="2"/>
        </w:numPr>
        <w:spacing w:after="60" w:line="300"/>
      </w:pPr>
      <w:r>
        <w:t xml:space="preserve">Tree canopy cover and equitable distribution across the boundary.</w:t>
      </w:r>
    </w:p>
    <w:p>
      <w:pPr>
        <w:pStyle w:val="ListParagraph"/>
        <w:numPr>
          <w:ilvl w:val="1"/>
          <w:numId w:val="2"/>
        </w:numPr>
        <w:spacing w:after="60" w:line="300"/>
      </w:pPr>
      <w:r>
        <w:t xml:space="preserve">Watershed condition (stream daylighting, water quality indicators, impervious-surface coverage).</w:t>
      </w:r>
    </w:p>
    <w:p>
      <w:pPr>
        <w:pStyle w:val="ListParagraph"/>
        <w:numPr>
          <w:ilvl w:val="1"/>
          <w:numId w:val="2"/>
        </w:numPr>
        <w:spacing w:after="60" w:line="300"/>
      </w:pPr>
      <w:r>
        <w:t xml:space="preserve">Public green space per capita and protected ecological features (wetlands, riparian buffers).</w:t>
      </w:r>
    </w:p>
    <w:p>
      <w:pPr>
        <w:pStyle w:val="ListParagraph"/>
        <w:numPr>
          <w:ilvl w:val="1"/>
          <w:numId w:val="2"/>
        </w:numPr>
        <w:spacing w:after="60" w:line="300"/>
      </w:pPr>
      <w:r>
        <w:t xml:space="preserve">Presence or absence of land contamination, brownfields, or active environmental degradation.</w:t>
      </w:r>
    </w:p>
    <w:p>
      <w:pPr>
        <w:spacing w:after="60" w:before="180" w:line="320"/>
      </w:pPr>
      <w:r>
        <w:rPr>
          <w:b/>
          <w:bCs/>
          <w:color w:val="0C7A7A"/>
        </w:rPr>
        <w:t xml:space="preserve">Connectivity over division</w:t>
      </w:r>
      <w:r>
        <w:t xml:space="preserve"> — </w:t>
      </w:r>
      <w:r>
        <w:t xml:space="preserve">Whether the built environment bridges or fragments. The same infrastructure can do either.</w:t>
      </w:r>
    </w:p>
    <w:p>
      <w:pPr>
        <w:spacing w:after="60" w:line="300"/>
        <w:ind w:left="360"/>
      </w:pPr>
      <w:r>
        <w:rPr>
          <w:i/>
          <w:iCs/>
        </w:rPr>
        <w:t xml:space="preserve">Indicators:</w:t>
      </w:r>
    </w:p>
    <w:p>
      <w:pPr>
        <w:pStyle w:val="ListParagraph"/>
        <w:numPr>
          <w:ilvl w:val="1"/>
          <w:numId w:val="2"/>
        </w:numPr>
        <w:spacing w:after="60" w:line="300"/>
      </w:pPr>
      <w:r>
        <w:t xml:space="preserve">Ratio of bridging features (sidewalks, transit, public space, low-traffic crossings) to dividing features (limited-access highways, rail cuts, walled developments, high-speed thoroughfares) per unit area.</w:t>
      </w:r>
    </w:p>
    <w:p>
      <w:pPr>
        <w:pStyle w:val="ListParagraph"/>
        <w:numPr>
          <w:ilvl w:val="1"/>
          <w:numId w:val="2"/>
        </w:numPr>
        <w:spacing w:after="60" w:line="300"/>
      </w:pPr>
      <w:r>
        <w:t xml:space="preserve">Resident-reported ease of crossing internal boundaries (a short survey instrument is feasible).</w:t>
      </w:r>
    </w:p>
    <w:p>
      <w:pPr>
        <w:pStyle w:val="ListParagraph"/>
        <w:numPr>
          <w:ilvl w:val="1"/>
          <w:numId w:val="2"/>
        </w:numPr>
        <w:spacing w:after="60" w:line="300"/>
      </w:pPr>
      <w:r>
        <w:t xml:space="preserve">Walkshed analysis: proportion of residents within a 10-minute walk of a third place, school, or transit stop.</w:t>
      </w:r>
    </w:p>
    <w:p>
      <w:pPr>
        <w:pStyle w:val="Heading2"/>
        <w:spacing w:after="140" w:before="320"/>
      </w:pPr>
      <w:r>
        <w:t xml:space="preserve">2. Recognition — knowing and being known</w:t>
      </w:r>
    </w:p>
    <w:p>
      <w:pPr>
        <w:spacing w:after="160" w:line="320"/>
      </w:pPr>
      <w:r>
        <w:t xml:space="preserve">The texture of being a recognizable person in a recognizable place. Healthy when recognition is dense, broadly distributed across the population, and able to absorb turnover without collapsing.</w:t>
      </w:r>
    </w:p>
    <w:p>
      <w:pPr>
        <w:spacing w:after="60" w:before="180" w:line="320"/>
      </w:pPr>
      <w:r>
        <w:rPr>
          <w:b/>
          <w:bCs/>
          <w:color w:val="0C7A7A"/>
        </w:rPr>
        <w:t xml:space="preserve">Density of weak ties</w:t>
      </w:r>
      <w:r>
        <w:t xml:space="preserve"> — </w:t>
      </w:r>
      <w:r>
        <w:t xml:space="preserve">How many neighbors a typical resident can name and be named by.</w:t>
      </w:r>
    </w:p>
    <w:p>
      <w:pPr>
        <w:spacing w:after="60" w:line="300"/>
        <w:ind w:left="360"/>
      </w:pPr>
      <w:r>
        <w:rPr>
          <w:i/>
          <w:iCs/>
        </w:rPr>
        <w:t xml:space="preserve">Indicators:</w:t>
      </w:r>
    </w:p>
    <w:p>
      <w:pPr>
        <w:pStyle w:val="ListParagraph"/>
        <w:numPr>
          <w:ilvl w:val="1"/>
          <w:numId w:val="2"/>
        </w:numPr>
        <w:spacing w:after="60" w:line="300"/>
      </w:pPr>
      <w:r>
        <w:t xml:space="preserve">Median number of neighbors a resident can name within a quarter mile, by name.</w:t>
      </w:r>
    </w:p>
    <w:p>
      <w:pPr>
        <w:pStyle w:val="ListParagraph"/>
        <w:numPr>
          <w:ilvl w:val="1"/>
          <w:numId w:val="2"/>
        </w:numPr>
        <w:spacing w:after="60" w:line="300"/>
      </w:pPr>
      <w:r>
        <w:t xml:space="preserve">Proportion of residents reporting at least one daily face-recognized encounter on foot.</w:t>
      </w:r>
    </w:p>
    <w:p>
      <w:pPr>
        <w:pStyle w:val="ListParagraph"/>
        <w:numPr>
          <w:ilvl w:val="1"/>
          <w:numId w:val="2"/>
        </w:numPr>
        <w:spacing w:after="60" w:line="300"/>
      </w:pPr>
      <w:r>
        <w:t xml:space="preserve">Validated survey items on familiarity (e.g., adapted neighborhood social cohesion scales).</w:t>
      </w:r>
    </w:p>
    <w:p>
      <w:pPr>
        <w:spacing w:after="60" w:before="180" w:line="320"/>
      </w:pPr>
      <w:r>
        <w:rPr>
          <w:b/>
          <w:bCs/>
          <w:color w:val="0C7A7A"/>
        </w:rPr>
        <w:t xml:space="preserve">Distribution of recognition across population and geography</w:t>
      </w:r>
      <w:r>
        <w:t xml:space="preserve"> — </w:t>
      </w:r>
      <w:r>
        <w:t xml:space="preserve">Whether recognition is broadly shared or concentrated. The diagnostic that catches the case where averages look fine but exclusion is happening.</w:t>
      </w:r>
    </w:p>
    <w:p>
      <w:pPr>
        <w:spacing w:after="60" w:line="300"/>
        <w:ind w:left="360"/>
      </w:pPr>
      <w:r>
        <w:rPr>
          <w:i/>
          <w:iCs/>
        </w:rPr>
        <w:t xml:space="preserve">Indicators:</w:t>
      </w:r>
    </w:p>
    <w:p>
      <w:pPr>
        <w:pStyle w:val="ListParagraph"/>
        <w:numPr>
          <w:ilvl w:val="1"/>
          <w:numId w:val="2"/>
        </w:numPr>
        <w:spacing w:after="60" w:line="300"/>
      </w:pPr>
      <w:r>
        <w:t xml:space="preserve">Variance in recognition density across demographic groups (race, age, income, length of residency, language).</w:t>
      </w:r>
    </w:p>
    <w:p>
      <w:pPr>
        <w:pStyle w:val="ListParagraph"/>
        <w:numPr>
          <w:ilvl w:val="1"/>
          <w:numId w:val="2"/>
        </w:numPr>
        <w:spacing w:after="60" w:line="300"/>
      </w:pPr>
      <w:r>
        <w:t xml:space="preserve">Variance in recognition density across geographic sub-areas of the neighborhood.</w:t>
      </w:r>
    </w:p>
    <w:p>
      <w:pPr>
        <w:pStyle w:val="ListParagraph"/>
        <w:numPr>
          <w:ilvl w:val="1"/>
          <w:numId w:val="2"/>
        </w:numPr>
        <w:spacing w:after="60" w:line="300"/>
      </w:pPr>
      <w:r>
        <w:t xml:space="preserve">Presence or absence of “recognition deserts” — blocks or population groups where median recognition is significantly below the neighborhood mean.</w:t>
      </w:r>
    </w:p>
    <w:p>
      <w:pPr>
        <w:spacing w:after="60" w:before="180" w:line="320"/>
      </w:pPr>
      <w:r>
        <w:rPr>
          <w:b/>
          <w:bCs/>
          <w:color w:val="0C7A7A"/>
        </w:rPr>
        <w:t xml:space="preserve">Turnover-resilience of recognition</w:t>
      </w:r>
      <w:r>
        <w:t xml:space="preserve"> — </w:t>
      </w:r>
      <w:r>
        <w:t xml:space="preserve">Whether recognition rebuilds when residents move in and out. A neighborhood where recognition collapses with every turnover is not healthy.</w:t>
      </w:r>
    </w:p>
    <w:p>
      <w:pPr>
        <w:spacing w:after="60" w:line="300"/>
        <w:ind w:left="360"/>
      </w:pPr>
      <w:r>
        <w:rPr>
          <w:i/>
          <w:iCs/>
        </w:rPr>
        <w:t xml:space="preserve">Indicators:</w:t>
      </w:r>
    </w:p>
    <w:p>
      <w:pPr>
        <w:pStyle w:val="ListParagraph"/>
        <w:numPr>
          <w:ilvl w:val="1"/>
          <w:numId w:val="2"/>
        </w:numPr>
        <w:spacing w:after="60" w:line="300"/>
      </w:pPr>
      <w:r>
        <w:t xml:space="preserve">Median time from new-resident arrival to being known by name by at least three neighbors (self-reported, or via a structured onboarding study).</w:t>
      </w:r>
    </w:p>
    <w:p>
      <w:pPr>
        <w:pStyle w:val="ListParagraph"/>
        <w:numPr>
          <w:ilvl w:val="1"/>
          <w:numId w:val="2"/>
        </w:numPr>
        <w:spacing w:after="60" w:line="300"/>
      </w:pPr>
      <w:r>
        <w:t xml:space="preserve">Proportion of multi-year residents who can name at least one recent arrival (under two years) by name.</w:t>
      </w:r>
    </w:p>
    <w:p>
      <w:pPr>
        <w:pStyle w:val="ListParagraph"/>
        <w:numPr>
          <w:ilvl w:val="1"/>
          <w:numId w:val="2"/>
        </w:numPr>
        <w:spacing w:after="60" w:line="300"/>
      </w:pPr>
      <w:r>
        <w:t xml:space="preserve">Rate of recognition loss during periods of high turnover (longitudinal indicator).</w:t>
      </w:r>
    </w:p>
    <w:p>
      <w:pPr>
        <w:pStyle w:val="Heading2"/>
        <w:spacing w:after="140" w:before="320"/>
      </w:pPr>
      <w:r>
        <w:t xml:space="preserve">3. Rhythm and recurrence</w:t>
      </w:r>
    </w:p>
    <w:p>
      <w:pPr>
        <w:spacing w:after="160" w:line="320"/>
      </w:pPr>
      <w:r>
        <w:t xml:space="preserve">What activates place into neighborhood. Healthy when recurring shared activity is dense, reliable, distributed across the year, and includes the more-than-human rhythm of the place.</w:t>
      </w:r>
    </w:p>
    <w:p>
      <w:pPr>
        <w:spacing w:after="60" w:before="180" w:line="320"/>
      </w:pPr>
      <w:r>
        <w:rPr>
          <w:b/>
          <w:bCs/>
          <w:color w:val="0C7A7A"/>
        </w:rPr>
        <w:t xml:space="preserve">Density and reliability of recurring shared activity</w:t>
      </w:r>
      <w:r>
        <w:t xml:space="preserve"> — </w:t>
      </w:r>
      <w:r>
        <w:t xml:space="preserve">How often, and how reliably, neighbors are placed in repeated contact through structured or unstructured rhythms.</w:t>
      </w:r>
    </w:p>
    <w:p>
      <w:pPr>
        <w:spacing w:after="60" w:line="300"/>
        <w:ind w:left="360"/>
      </w:pPr>
      <w:r>
        <w:rPr>
          <w:i/>
          <w:iCs/>
        </w:rPr>
        <w:t xml:space="preserve">Indicators:</w:t>
      </w:r>
    </w:p>
    <w:p>
      <w:pPr>
        <w:pStyle w:val="ListParagraph"/>
        <w:numPr>
          <w:ilvl w:val="1"/>
          <w:numId w:val="2"/>
        </w:numPr>
        <w:spacing w:after="60" w:line="300"/>
      </w:pPr>
      <w:r>
        <w:t xml:space="preserve">Number of recurring named gatherings, rituals, or events per month within the boundary.</w:t>
      </w:r>
    </w:p>
    <w:p>
      <w:pPr>
        <w:pStyle w:val="ListParagraph"/>
        <w:numPr>
          <w:ilvl w:val="1"/>
          <w:numId w:val="2"/>
        </w:numPr>
        <w:spacing w:after="60" w:line="300"/>
      </w:pPr>
      <w:r>
        <w:t xml:space="preserve">Attendance at recurring activities over a 12-month period (median and trend).</w:t>
      </w:r>
    </w:p>
    <w:p>
      <w:pPr>
        <w:pStyle w:val="ListParagraph"/>
        <w:numPr>
          <w:ilvl w:val="1"/>
          <w:numId w:val="2"/>
        </w:numPr>
        <w:spacing w:after="60" w:line="300"/>
      </w:pPr>
      <w:r>
        <w:t xml:space="preserve">Survival rate of recurring activities: what proportion of named recurring gatherings are still happening at one, three, and five years.</w:t>
      </w:r>
    </w:p>
    <w:p>
      <w:pPr>
        <w:spacing w:after="60" w:before="180" w:line="320"/>
      </w:pPr>
      <w:r>
        <w:rPr>
          <w:b/>
          <w:bCs/>
          <w:color w:val="0C7A7A"/>
        </w:rPr>
        <w:t xml:space="preserve">Distribution of rhythm across the calendar</w:t>
      </w:r>
      <w:r>
        <w:t xml:space="preserve"> — </w:t>
      </w:r>
      <w:r>
        <w:t xml:space="preserve">Whether rhythm is spread across seasons and time scales or concentrated in one. A place with only summer events is rhythmically thin.</w:t>
      </w:r>
    </w:p>
    <w:p>
      <w:pPr>
        <w:spacing w:after="60" w:line="300"/>
        <w:ind w:left="360"/>
      </w:pPr>
      <w:r>
        <w:rPr>
          <w:i/>
          <w:iCs/>
        </w:rPr>
        <w:t xml:space="preserve">Indicators:</w:t>
      </w:r>
    </w:p>
    <w:p>
      <w:pPr>
        <w:pStyle w:val="ListParagraph"/>
        <w:numPr>
          <w:ilvl w:val="1"/>
          <w:numId w:val="2"/>
        </w:numPr>
        <w:spacing w:after="60" w:line="300"/>
      </w:pPr>
      <w:r>
        <w:t xml:space="preserve">Number of recurring activities by season (proportion in each of four seasons).</w:t>
      </w:r>
    </w:p>
    <w:p>
      <w:pPr>
        <w:pStyle w:val="ListParagraph"/>
        <w:numPr>
          <w:ilvl w:val="1"/>
          <w:numId w:val="2"/>
        </w:numPr>
        <w:spacing w:after="60" w:line="300"/>
      </w:pPr>
      <w:r>
        <w:t xml:space="preserve">Presence of rhythms at multiple scales: weekly, monthly, annual.</w:t>
      </w:r>
    </w:p>
    <w:p>
      <w:pPr>
        <w:pStyle w:val="ListParagraph"/>
        <w:numPr>
          <w:ilvl w:val="1"/>
          <w:numId w:val="2"/>
        </w:numPr>
        <w:spacing w:after="60" w:line="300"/>
      </w:pPr>
      <w:r>
        <w:t xml:space="preserve">Proportion of weeks in the year containing at least one recurring shared activity.</w:t>
      </w:r>
    </w:p>
    <w:p>
      <w:pPr>
        <w:spacing w:after="60" w:before="180" w:line="320"/>
      </w:pPr>
      <w:r>
        <w:rPr>
          <w:b/>
          <w:bCs/>
          <w:color w:val="0C7A7A"/>
        </w:rPr>
        <w:t xml:space="preserve">Inclusion of more-than-human time</w:t>
      </w:r>
      <w:r>
        <w:t xml:space="preserve"> — </w:t>
      </w:r>
      <w:r>
        <w:t xml:space="preserve">Whether the seasonal and ecological rhythms of the place are held in shared awareness and practice.</w:t>
      </w:r>
    </w:p>
    <w:p>
      <w:pPr>
        <w:spacing w:after="60" w:line="300"/>
        <w:ind w:left="360"/>
      </w:pPr>
      <w:r>
        <w:rPr>
          <w:i/>
          <w:iCs/>
        </w:rPr>
        <w:t xml:space="preserve">Indicators:</w:t>
      </w:r>
    </w:p>
    <w:p>
      <w:pPr>
        <w:pStyle w:val="ListParagraph"/>
        <w:numPr>
          <w:ilvl w:val="1"/>
          <w:numId w:val="2"/>
        </w:numPr>
        <w:spacing w:after="60" w:line="300"/>
      </w:pPr>
      <w:r>
        <w:t xml:space="preserve">Presence of practices, rituals, or marked moments tied to phenological events (e.g., bird return, first frost, watershed cycles, harvest).</w:t>
      </w:r>
    </w:p>
    <w:p>
      <w:pPr>
        <w:pStyle w:val="ListParagraph"/>
        <w:numPr>
          <w:ilvl w:val="1"/>
          <w:numId w:val="2"/>
        </w:numPr>
        <w:spacing w:after="60" w:line="300"/>
      </w:pPr>
      <w:r>
        <w:t xml:space="preserve">Resident familiarity with the seasonal pattern of the place (short survey: can residents name three seasonal markers specific to this neighborhood).</w:t>
      </w:r>
    </w:p>
    <w:p>
      <w:pPr>
        <w:pStyle w:val="ListParagraph"/>
        <w:numPr>
          <w:ilvl w:val="1"/>
          <w:numId w:val="2"/>
        </w:numPr>
        <w:spacing w:after="60" w:line="300"/>
      </w:pPr>
      <w:r>
        <w:t xml:space="preserve">Presence of public-facing recognition of ecological time (community gardens with seasonal calendars, watershed celebrations, etc.).</w:t>
      </w:r>
    </w:p>
    <w:p>
      <w:pPr>
        <w:spacing w:after="140" w:before="60" w:line="300"/>
        <w:ind w:left="360"/>
      </w:pPr>
      <w:r>
        <w:rPr>
          <w:i/>
          <w:iCs/>
          <w:color w:val="8B5A00"/>
        </w:rPr>
        <w:t xml:space="preserve">Development note. </w:t>
      </w:r>
      <w:r>
        <w:rPr>
          <w:i/>
          <w:iCs/>
          <w:color w:val="555555"/>
        </w:rPr>
        <w:t xml:space="preserve">Phenological awareness as a community indicator is not well-instrumented. The Audubon Society, the National Phenology Network, and Indigenous-led land-relationship frameworks each have pieces of an approach, but no off-the-shelf instrument exists at the neighborhood scale. Development item.</w:t>
      </w:r>
    </w:p>
    <w:p>
      <w:pPr>
        <w:pStyle w:val="Heading2"/>
        <w:spacing w:after="140" w:before="320"/>
      </w:pPr>
      <w:r>
        <w:t xml:space="preserve">4. Mutual obligation — care that follows from recognition</w:t>
      </w:r>
    </w:p>
    <w:p>
      <w:pPr>
        <w:spacing w:after="160" w:line="320"/>
      </w:pPr>
      <w:r>
        <w:t xml:space="preserve">What recognition becomes when activated by trust and reciprocity. Healthy when care actually flows, when it is reciprocal, and when it does not break under stress.</w:t>
      </w:r>
    </w:p>
    <w:p>
      <w:pPr>
        <w:spacing w:after="60" w:before="180" w:line="320"/>
      </w:pPr>
      <w:r>
        <w:rPr>
          <w:b/>
          <w:bCs/>
          <w:color w:val="0C7A7A"/>
        </w:rPr>
        <w:t xml:space="preserve">Reciprocity of care</w:t>
      </w:r>
      <w:r>
        <w:t xml:space="preserve"> — </w:t>
      </w:r>
      <w:r>
        <w:t xml:space="preserve">Whether neighbors actually give and receive help, and whether the flow is two-way.</w:t>
      </w:r>
    </w:p>
    <w:p>
      <w:pPr>
        <w:spacing w:after="60" w:line="300"/>
        <w:ind w:left="360"/>
      </w:pPr>
      <w:r>
        <w:rPr>
          <w:i/>
          <w:iCs/>
        </w:rPr>
        <w:t xml:space="preserve">Indicators:</w:t>
      </w:r>
    </w:p>
    <w:p>
      <w:pPr>
        <w:pStyle w:val="ListParagraph"/>
        <w:numPr>
          <w:ilvl w:val="1"/>
          <w:numId w:val="2"/>
        </w:numPr>
        <w:spacing w:after="60" w:line="300"/>
      </w:pPr>
      <w:r>
        <w:t xml:space="preserve">Validated collective efficacy scale items (Sampson and colleagues): would neighbors intervene if children were skipping school, if children were spray-painting, if there was a fight.</w:t>
      </w:r>
    </w:p>
    <w:p>
      <w:pPr>
        <w:pStyle w:val="ListParagraph"/>
        <w:numPr>
          <w:ilvl w:val="1"/>
          <w:numId w:val="2"/>
        </w:numPr>
        <w:spacing w:after="60" w:line="300"/>
      </w:pPr>
      <w:r>
        <w:t xml:space="preserve">Proportion of residents reporting both giving and receiving help (small or large) from a neighbor in the past 12 months.</w:t>
      </w:r>
    </w:p>
    <w:p>
      <w:pPr>
        <w:pStyle w:val="ListParagraph"/>
        <w:numPr>
          <w:ilvl w:val="1"/>
          <w:numId w:val="2"/>
        </w:numPr>
        <w:spacing w:after="60" w:line="300"/>
      </w:pPr>
      <w:r>
        <w:t xml:space="preserve">Survey items on specific reciprocal acts: would a neighbor watch your house, lend a tool, take in a package, call you if something seemed wrong.</w:t>
      </w:r>
    </w:p>
    <w:p>
      <w:pPr>
        <w:spacing w:after="60" w:before="180" w:line="320"/>
      </w:pPr>
      <w:r>
        <w:rPr>
          <w:b/>
          <w:bCs/>
          <w:color w:val="0C7A7A"/>
        </w:rPr>
        <w:t xml:space="preserve">Presence of trust under stress</w:t>
      </w:r>
      <w:r>
        <w:t xml:space="preserve"> — </w:t>
      </w:r>
      <w:r>
        <w:t xml:space="preserve">Whether mutual obligation holds when something tests it. Recognition can be high in calm; obligation is diagnostic under load.</w:t>
      </w:r>
    </w:p>
    <w:p>
      <w:pPr>
        <w:spacing w:after="60" w:line="300"/>
        <w:ind w:left="360"/>
      </w:pPr>
      <w:r>
        <w:rPr>
          <w:i/>
          <w:iCs/>
        </w:rPr>
        <w:t xml:space="preserve">Indicators:</w:t>
      </w:r>
    </w:p>
    <w:p>
      <w:pPr>
        <w:pStyle w:val="ListParagraph"/>
        <w:numPr>
          <w:ilvl w:val="1"/>
          <w:numId w:val="2"/>
        </w:numPr>
        <w:spacing w:after="60" w:line="300"/>
      </w:pPr>
      <w:r>
        <w:t xml:space="preserve">Reported behavior during the most recent significant local stress event (storm, conflict, crisis, public emergency): proportion of residents who reported acting on behalf of neighbors versus disengaged or unaware.</w:t>
      </w:r>
    </w:p>
    <w:p>
      <w:pPr>
        <w:pStyle w:val="ListParagraph"/>
        <w:numPr>
          <w:ilvl w:val="1"/>
          <w:numId w:val="2"/>
        </w:numPr>
        <w:spacing w:after="60" w:line="300"/>
      </w:pPr>
      <w:r>
        <w:t xml:space="preserve">Number of informal mutual-aid responses to recent shocks (mapped against neighborhood boundary).</w:t>
      </w:r>
    </w:p>
    <w:p>
      <w:pPr>
        <w:pStyle w:val="ListParagraph"/>
        <w:numPr>
          <w:ilvl w:val="1"/>
          <w:numId w:val="2"/>
        </w:numPr>
        <w:spacing w:after="60" w:line="300"/>
      </w:pPr>
      <w:r>
        <w:t xml:space="preserve">Resident trust in neighbors as a category, measured against a control of trust in strangers.</w:t>
      </w:r>
    </w:p>
    <w:p>
      <w:pPr>
        <w:spacing w:after="140" w:before="60" w:line="300"/>
        <w:ind w:left="360"/>
      </w:pPr>
      <w:r>
        <w:rPr>
          <w:i/>
          <w:iCs/>
          <w:color w:val="8B5A00"/>
        </w:rPr>
        <w:t xml:space="preserve">Development note. </w:t>
      </w:r>
      <w:r>
        <w:rPr>
          <w:i/>
          <w:iCs/>
          <w:color w:val="555555"/>
        </w:rPr>
        <w:t xml:space="preserve">This attribute is hard to measure prospectively but tractable retrospectively. Studies of post-disaster response (Aldrich, Klinenberg) offer instruments. The challenge is that meaningful measurement requires a stress event to have occurred.</w:t>
      </w:r>
    </w:p>
    <w:p>
      <w:pPr>
        <w:spacing w:after="60" w:before="180" w:line="320"/>
      </w:pPr>
      <w:r>
        <w:rPr>
          <w:b/>
          <w:bCs/>
          <w:color w:val="0C7A7A"/>
        </w:rPr>
        <w:t xml:space="preserve">Distribution of mutual obligation</w:t>
      </w:r>
      <w:r>
        <w:t xml:space="preserve"> — </w:t>
      </w:r>
      <w:r>
        <w:t xml:space="preserve">Who is included in care networks and who is not. The component fails when obligation is one-sided.</w:t>
      </w:r>
    </w:p>
    <w:p>
      <w:pPr>
        <w:spacing w:after="60" w:line="300"/>
        <w:ind w:left="360"/>
      </w:pPr>
      <w:r>
        <w:rPr>
          <w:i/>
          <w:iCs/>
        </w:rPr>
        <w:t xml:space="preserve">Indicators:</w:t>
      </w:r>
    </w:p>
    <w:p>
      <w:pPr>
        <w:pStyle w:val="ListParagraph"/>
        <w:numPr>
          <w:ilvl w:val="1"/>
          <w:numId w:val="2"/>
        </w:numPr>
        <w:spacing w:after="60" w:line="300"/>
      </w:pPr>
      <w:r>
        <w:t xml:space="preserve">Variance in reciprocity scores across demographic and geographic sub-groups.</w:t>
      </w:r>
    </w:p>
    <w:p>
      <w:pPr>
        <w:pStyle w:val="ListParagraph"/>
        <w:numPr>
          <w:ilvl w:val="1"/>
          <w:numId w:val="2"/>
        </w:numPr>
        <w:spacing w:after="60" w:line="300"/>
      </w:pPr>
      <w:r>
        <w:t xml:space="preserve">Presence or absence of one-sided flow patterns (one group consistently providing, another consistently receiving, without exchange).</w:t>
      </w:r>
    </w:p>
    <w:p>
      <w:pPr>
        <w:pStyle w:val="ListParagraph"/>
        <w:numPr>
          <w:ilvl w:val="1"/>
          <w:numId w:val="2"/>
        </w:numPr>
        <w:spacing w:after="60" w:line="300"/>
      </w:pPr>
      <w:r>
        <w:t xml:space="preserve">Proportion of residents reporting they have nobody nearby they could call at 2 a.m., disaggregated by demographic.</w:t>
      </w:r>
    </w:p>
    <w:p>
      <w:pPr>
        <w:pStyle w:val="Heading2"/>
        <w:spacing w:after="140" w:before="320"/>
      </w:pPr>
      <w:r>
        <w:t xml:space="preserve">5. Common stakes and shared concerns</w:t>
      </w:r>
    </w:p>
    <w:p>
      <w:pPr>
        <w:spacing w:after="160" w:line="320"/>
      </w:pPr>
      <w:r>
        <w:t xml:space="preserve">What residents share whether they chose to or not. Healthy when shared exposures are recognized as shared, when the capacity exists to act on them collectively, and when whose stakes get surfaced is equitable.</w:t>
      </w:r>
    </w:p>
    <w:p>
      <w:pPr>
        <w:spacing w:after="60" w:before="180" w:line="320"/>
      </w:pPr>
      <w:r>
        <w:rPr>
          <w:b/>
          <w:bCs/>
          <w:color w:val="0C7A7A"/>
        </w:rPr>
        <w:t xml:space="preserve">Shared exposure recognized as shared</w:t>
      </w:r>
      <w:r>
        <w:t xml:space="preserve"> — </w:t>
      </w:r>
      <w:r>
        <w:t xml:space="preserve">Whether residents see the conditions they share as common, not just personal.</w:t>
      </w:r>
    </w:p>
    <w:p>
      <w:pPr>
        <w:spacing w:after="60" w:line="300"/>
        <w:ind w:left="360"/>
      </w:pPr>
      <w:r>
        <w:rPr>
          <w:i/>
          <w:iCs/>
        </w:rPr>
        <w:t xml:space="preserve">Indicators:</w:t>
      </w:r>
    </w:p>
    <w:p>
      <w:pPr>
        <w:pStyle w:val="ListParagraph"/>
        <w:numPr>
          <w:ilvl w:val="1"/>
          <w:numId w:val="2"/>
        </w:numPr>
        <w:spacing w:after="60" w:line="300"/>
      </w:pPr>
      <w:r>
        <w:t xml:space="preserve">Proportion of residents who can name three concerns or risks they share with neighbors (unprompted, in their own words).</w:t>
      </w:r>
    </w:p>
    <w:p>
      <w:pPr>
        <w:pStyle w:val="ListParagraph"/>
        <w:numPr>
          <w:ilvl w:val="1"/>
          <w:numId w:val="2"/>
        </w:numPr>
        <w:spacing w:after="60" w:line="300"/>
      </w:pPr>
      <w:r>
        <w:t xml:space="preserve">Concordance between resident-identified shared concerns and observable shared exposures (flood maps, school catchment data, environmental risk data, economic vulnerability data).</w:t>
      </w:r>
    </w:p>
    <w:p>
      <w:pPr>
        <w:pStyle w:val="ListParagraph"/>
        <w:numPr>
          <w:ilvl w:val="1"/>
          <w:numId w:val="2"/>
        </w:numPr>
        <w:spacing w:after="60" w:line="300"/>
      </w:pPr>
      <w:r>
        <w:t xml:space="preserve">Resident agreement on the top three issues facing the neighborhood (a measure of shared framing, not just shared exposure).</w:t>
      </w:r>
    </w:p>
    <w:p>
      <w:pPr>
        <w:spacing w:after="60" w:before="180" w:line="320"/>
      </w:pPr>
      <w:r>
        <w:rPr>
          <w:b/>
          <w:bCs/>
          <w:color w:val="0C7A7A"/>
        </w:rPr>
        <w:t xml:space="preserve">Capacity to convert shared concern into collective action</w:t>
      </w:r>
      <w:r>
        <w:t xml:space="preserve"> — </w:t>
      </w:r>
      <w:r>
        <w:t xml:space="preserve">Whether shared concern produces shared response, or whether it stays at the level of complaint.</w:t>
      </w:r>
    </w:p>
    <w:p>
      <w:pPr>
        <w:spacing w:after="60" w:line="300"/>
        <w:ind w:left="360"/>
      </w:pPr>
      <w:r>
        <w:rPr>
          <w:i/>
          <w:iCs/>
        </w:rPr>
        <w:t xml:space="preserve">Indicators:</w:t>
      </w:r>
    </w:p>
    <w:p>
      <w:pPr>
        <w:pStyle w:val="ListParagraph"/>
        <w:numPr>
          <w:ilvl w:val="1"/>
          <w:numId w:val="2"/>
        </w:numPr>
        <w:spacing w:after="60" w:line="300"/>
      </w:pPr>
      <w:r>
        <w:t xml:space="preserve">Presence and activity of issue-based resident groups (neighborhood associations, mutual aid groups, advocacy groups).</w:t>
      </w:r>
    </w:p>
    <w:p>
      <w:pPr>
        <w:pStyle w:val="ListParagraph"/>
        <w:numPr>
          <w:ilvl w:val="1"/>
          <w:numId w:val="2"/>
        </w:numPr>
        <w:spacing w:after="60" w:line="300"/>
      </w:pPr>
      <w:r>
        <w:t xml:space="preserve">Number of documented collective responses to a shared concern in the last 24 months (petitions, organizing campaigns, mutual aid, public meetings called by residents).</w:t>
      </w:r>
    </w:p>
    <w:p>
      <w:pPr>
        <w:pStyle w:val="ListParagraph"/>
        <w:numPr>
          <w:ilvl w:val="1"/>
          <w:numId w:val="2"/>
        </w:numPr>
        <w:spacing w:after="60" w:line="300"/>
      </w:pPr>
      <w:r>
        <w:t xml:space="preserve">Attendance at relevant civic meetings (city council, school board, planning) by neighborhood residents, relative to population.</w:t>
      </w:r>
    </w:p>
    <w:p>
      <w:pPr>
        <w:spacing w:after="60" w:before="180" w:line="320"/>
      </w:pPr>
      <w:r>
        <w:rPr>
          <w:b/>
          <w:bCs/>
          <w:color w:val="0C7A7A"/>
        </w:rPr>
        <w:t xml:space="preserve">Equitable surfacing of stakes</w:t>
      </w:r>
      <w:r>
        <w:t xml:space="preserve"> — </w:t>
      </w:r>
      <w:r>
        <w:t xml:space="preserve">Whose concerns get named publicly and whose do not. The component fails when only one segment of the neighborhood’s stakes are visible.</w:t>
      </w:r>
    </w:p>
    <w:p>
      <w:pPr>
        <w:spacing w:after="60" w:line="300"/>
        <w:ind w:left="360"/>
      </w:pPr>
      <w:r>
        <w:rPr>
          <w:i/>
          <w:iCs/>
        </w:rPr>
        <w:t xml:space="preserve">Indicators:</w:t>
      </w:r>
    </w:p>
    <w:p>
      <w:pPr>
        <w:pStyle w:val="ListParagraph"/>
        <w:numPr>
          <w:ilvl w:val="1"/>
          <w:numId w:val="2"/>
        </w:numPr>
        <w:spacing w:after="60" w:line="300"/>
      </w:pPr>
      <w:r>
        <w:t xml:space="preserve">Whose voices appear in publicly recorded civic discourse (council testimony, news coverage, neighborhood association minutes), disaggregated by demographic.</w:t>
      </w:r>
    </w:p>
    <w:p>
      <w:pPr>
        <w:pStyle w:val="ListParagraph"/>
        <w:numPr>
          <w:ilvl w:val="1"/>
          <w:numId w:val="2"/>
        </w:numPr>
        <w:spacing w:after="60" w:line="300"/>
      </w:pPr>
      <w:r>
        <w:t xml:space="preserve">Presence or absence of structured mechanisms to surface concerns from residents typically excluded from civic discourse (language access, childcare at meetings, evening hours, door-to-door listening).</w:t>
      </w:r>
    </w:p>
    <w:p>
      <w:pPr>
        <w:pStyle w:val="ListParagraph"/>
        <w:numPr>
          <w:ilvl w:val="1"/>
          <w:numId w:val="2"/>
        </w:numPr>
        <w:spacing w:after="60" w:line="300"/>
      </w:pPr>
      <w:r>
        <w:t xml:space="preserve">Resident-reported sense that their concerns are heard, disaggregated by demographic.</w:t>
      </w:r>
    </w:p>
    <w:p>
      <w:pPr>
        <w:pStyle w:val="Heading2"/>
        <w:spacing w:after="140" w:before="320"/>
      </w:pPr>
      <w:r>
        <w:t xml:space="preserve">6. Institutional and organizational anchors</w:t>
      </w:r>
    </w:p>
    <w:p>
      <w:pPr>
        <w:spacing w:after="160" w:line="320"/>
      </w:pPr>
      <w:r>
        <w:t xml:space="preserve">The structures that hold material and relational life together across time. Healthy when anchors are present, distributed across function and population, and actually functioning as anchors — not just nominally there.</w:t>
      </w:r>
    </w:p>
    <w:p>
      <w:pPr>
        <w:spacing w:after="60" w:before="180" w:line="320"/>
      </w:pPr>
      <w:r>
        <w:rPr>
          <w:b/>
          <w:bCs/>
          <w:color w:val="0C7A7A"/>
        </w:rPr>
        <w:t xml:space="preserve">Presence and viability of anchor institutions</w:t>
      </w:r>
      <w:r>
        <w:t xml:space="preserve"> — </w:t>
      </w:r>
      <w:r>
        <w:t xml:space="preserve">Whether the institutions that typically anchor neighborhoods exist and are alive.</w:t>
      </w:r>
    </w:p>
    <w:p>
      <w:pPr>
        <w:spacing w:after="60" w:line="300"/>
        <w:ind w:left="360"/>
      </w:pPr>
      <w:r>
        <w:rPr>
          <w:i/>
          <w:iCs/>
        </w:rPr>
        <w:t xml:space="preserve">Indicators:</w:t>
      </w:r>
    </w:p>
    <w:p>
      <w:pPr>
        <w:pStyle w:val="ListParagraph"/>
        <w:numPr>
          <w:ilvl w:val="1"/>
          <w:numId w:val="2"/>
        </w:numPr>
        <w:spacing w:after="60" w:line="300"/>
      </w:pPr>
      <w:r>
        <w:t xml:space="preserve">Number of active local institutions per 1,000 residents (schools, congregations, libraries, civic associations, local businesses, mutual-aid groups, block clubs).</w:t>
      </w:r>
    </w:p>
    <w:p>
      <w:pPr>
        <w:pStyle w:val="ListParagraph"/>
        <w:numPr>
          <w:ilvl w:val="1"/>
          <w:numId w:val="2"/>
        </w:numPr>
        <w:spacing w:after="60" w:line="300"/>
      </w:pPr>
      <w:r>
        <w:t xml:space="preserve">Financial and participatory health of those institutions (budget trend, membership trend, attendance trend, where available).</w:t>
      </w:r>
    </w:p>
    <w:p>
      <w:pPr>
        <w:pStyle w:val="ListParagraph"/>
        <w:numPr>
          <w:ilvl w:val="1"/>
          <w:numId w:val="2"/>
        </w:numPr>
        <w:spacing w:after="60" w:line="300"/>
      </w:pPr>
      <w:r>
        <w:t xml:space="preserve">Rate of institutional loss or replacement (closures, openings, mergers over a five-year window).</w:t>
      </w:r>
    </w:p>
    <w:p>
      <w:pPr>
        <w:spacing w:after="60" w:before="180" w:line="320"/>
      </w:pPr>
      <w:r>
        <w:rPr>
          <w:b/>
          <w:bCs/>
          <w:color w:val="0C7A7A"/>
        </w:rPr>
        <w:t xml:space="preserve">Distribution across function and population</w:t>
      </w:r>
      <w:r>
        <w:t xml:space="preserve"> — </w:t>
      </w:r>
      <w:r>
        <w:t xml:space="preserve">Whether the institutional ecology covers the range of functions a neighborhood needs and serves the range of people who live in it.</w:t>
      </w:r>
    </w:p>
    <w:p>
      <w:pPr>
        <w:spacing w:after="60" w:line="300"/>
        <w:ind w:left="360"/>
      </w:pPr>
      <w:r>
        <w:rPr>
          <w:i/>
          <w:iCs/>
        </w:rPr>
        <w:t xml:space="preserve">Indicators:</w:t>
      </w:r>
    </w:p>
    <w:p>
      <w:pPr>
        <w:pStyle w:val="ListParagraph"/>
        <w:numPr>
          <w:ilvl w:val="1"/>
          <w:numId w:val="2"/>
        </w:numPr>
        <w:spacing w:after="60" w:line="300"/>
      </w:pPr>
      <w:r>
        <w:t xml:space="preserve">Institutional coverage across functions: educational, religious, civic, economic, recreational, mutual-aid, cultural.</w:t>
      </w:r>
    </w:p>
    <w:p>
      <w:pPr>
        <w:pStyle w:val="ListParagraph"/>
        <w:numPr>
          <w:ilvl w:val="1"/>
          <w:numId w:val="2"/>
        </w:numPr>
        <w:spacing w:after="60" w:line="300"/>
      </w:pPr>
      <w:r>
        <w:t xml:space="preserve">Whether different populations within the neighborhood have institutional homes that serve them (language groups, age groups, faith traditions, recent arrivals).</w:t>
      </w:r>
    </w:p>
    <w:p>
      <w:pPr>
        <w:pStyle w:val="ListParagraph"/>
        <w:numPr>
          <w:ilvl w:val="1"/>
          <w:numId w:val="2"/>
        </w:numPr>
        <w:spacing w:after="60" w:line="300"/>
      </w:pPr>
      <w:r>
        <w:t xml:space="preserve">Presence or absence of single-point-of-failure dependency (e.g., one institution carrying all relational weight).</w:t>
      </w:r>
    </w:p>
    <w:p>
      <w:pPr>
        <w:spacing w:after="60" w:before="180" w:line="320"/>
      </w:pPr>
      <w:r>
        <w:rPr>
          <w:b/>
          <w:bCs/>
          <w:color w:val="0C7A7A"/>
        </w:rPr>
        <w:t xml:space="preserve">Anchor effectiveness, not just presence</w:t>
      </w:r>
      <w:r>
        <w:t xml:space="preserve"> — </w:t>
      </w:r>
      <w:r>
        <w:t xml:space="preserve">Whether institutions actually anchor — hold relationships, host gatherings, generate civic activity — or whether they have become shells. The diagnostic Stacy’s dissent points to.</w:t>
      </w:r>
    </w:p>
    <w:p>
      <w:pPr>
        <w:spacing w:after="60" w:line="300"/>
        <w:ind w:left="360"/>
      </w:pPr>
      <w:r>
        <w:rPr>
          <w:i/>
          <w:iCs/>
        </w:rPr>
        <w:t xml:space="preserve">Indicators:</w:t>
      </w:r>
    </w:p>
    <w:p>
      <w:pPr>
        <w:pStyle w:val="ListParagraph"/>
        <w:numPr>
          <w:ilvl w:val="1"/>
          <w:numId w:val="2"/>
        </w:numPr>
        <w:spacing w:after="60" w:line="300"/>
      </w:pPr>
      <w:r>
        <w:t xml:space="preserve">Number of residents reporting active participation (not just membership) in at least one local institution.</w:t>
      </w:r>
    </w:p>
    <w:p>
      <w:pPr>
        <w:pStyle w:val="ListParagraph"/>
        <w:numPr>
          <w:ilvl w:val="1"/>
          <w:numId w:val="2"/>
        </w:numPr>
        <w:spacing w:after="60" w:line="300"/>
      </w:pPr>
      <w:r>
        <w:t xml:space="preserve">Number of cross-institutional collaborations or shared events per year (a sign that institutions are connected, not isolated silos).</w:t>
      </w:r>
    </w:p>
    <w:p>
      <w:pPr>
        <w:pStyle w:val="ListParagraph"/>
        <w:numPr>
          <w:ilvl w:val="1"/>
          <w:numId w:val="2"/>
        </w:numPr>
        <w:spacing w:after="60" w:line="300"/>
      </w:pPr>
      <w:r>
        <w:t xml:space="preserve">Resident-reported relevance of named local institutions to their lives (a survey item, calibrated against the cohort’s assumption that anchors still anchor).</w:t>
      </w:r>
    </w:p>
    <w:p>
      <w:pPr>
        <w:spacing w:after="140" w:before="60" w:line="300"/>
        <w:ind w:left="360"/>
      </w:pPr>
      <w:r>
        <w:rPr>
          <w:i/>
          <w:iCs/>
          <w:color w:val="8B5A00"/>
        </w:rPr>
        <w:t xml:space="preserve">Development note. </w:t>
      </w:r>
      <w:r>
        <w:rPr>
          <w:i/>
          <w:iCs/>
          <w:color w:val="555555"/>
        </w:rPr>
        <w:t xml:space="preserve">“Effectiveness” as distinct from “presence” is the hardest of the institutional attributes to measure cleanly. Surveys can reach it, but the question framing has to avoid both nostalgia (assuming institutions used to anchor and asking whether they still do) and dismissal (assuming they no longer matter). Development item, and one worth pressure-testing with Stacy.</w:t>
      </w:r>
    </w:p>
    <w:p>
      <w:pPr>
        <w:pStyle w:val="Heading2"/>
        <w:spacing w:after="140" w:before="320"/>
      </w:pPr>
      <w:r>
        <w:t xml:space="preserve">7. Story, memory, and identity over time</w:t>
      </w:r>
    </w:p>
    <w:p>
      <w:pPr>
        <w:spacing w:after="160" w:line="320"/>
      </w:pPr>
      <w:r>
        <w:t xml:space="preserve">The temporal layering that makes the neighborhood accountable to its past and future. Healthy when narrative is continuous, honest about what happened, and oriented toward a future residents have a say in.</w:t>
      </w:r>
    </w:p>
    <w:p>
      <w:pPr>
        <w:spacing w:after="60" w:before="180" w:line="320"/>
      </w:pPr>
      <w:r>
        <w:rPr>
          <w:b/>
          <w:bCs/>
          <w:color w:val="0C7A7A"/>
        </w:rPr>
        <w:t xml:space="preserve">Continuity of narrative</w:t>
      </w:r>
      <w:r>
        <w:t xml:space="preserve"> — </w:t>
      </w:r>
      <w:r>
        <w:t xml:space="preserve">Whether the neighborhood’s history is held and passed on, not lost to turnover or development.</w:t>
      </w:r>
    </w:p>
    <w:p>
      <w:pPr>
        <w:spacing w:after="60" w:line="300"/>
        <w:ind w:left="360"/>
      </w:pPr>
      <w:r>
        <w:rPr>
          <w:i/>
          <w:iCs/>
        </w:rPr>
        <w:t xml:space="preserve">Indicators:</w:t>
      </w:r>
    </w:p>
    <w:p>
      <w:pPr>
        <w:pStyle w:val="ListParagraph"/>
        <w:numPr>
          <w:ilvl w:val="1"/>
          <w:numId w:val="2"/>
        </w:numPr>
        <w:spacing w:after="60" w:line="300"/>
      </w:pPr>
      <w:r>
        <w:t xml:space="preserve">Presence of named historical features tied to the place: markers, plaques, archived oral histories, named institutions, public art referencing local history.</w:t>
      </w:r>
    </w:p>
    <w:p>
      <w:pPr>
        <w:pStyle w:val="ListParagraph"/>
        <w:numPr>
          <w:ilvl w:val="1"/>
          <w:numId w:val="2"/>
        </w:numPr>
        <w:spacing w:after="60" w:line="300"/>
      </w:pPr>
      <w:r>
        <w:t xml:space="preserve">Proportion of residents who can name three specific things from the neighborhood’s history (events, people, places).</w:t>
      </w:r>
    </w:p>
    <w:p>
      <w:pPr>
        <w:pStyle w:val="ListParagraph"/>
        <w:numPr>
          <w:ilvl w:val="1"/>
          <w:numId w:val="2"/>
        </w:numPr>
        <w:spacing w:after="60" w:line="300"/>
      </w:pPr>
      <w:r>
        <w:t xml:space="preserve">Presence of living storytellers, memory-keepers, or community historians who carry institutional memory.</w:t>
      </w:r>
    </w:p>
    <w:p>
      <w:pPr>
        <w:spacing w:after="60" w:before="180" w:line="320"/>
      </w:pPr>
      <w:r>
        <w:rPr>
          <w:b/>
          <w:bCs/>
          <w:color w:val="0C7A7A"/>
        </w:rPr>
        <w:t xml:space="preserve">Honesty of narrative</w:t>
      </w:r>
      <w:r>
        <w:t xml:space="preserve"> — </w:t>
      </w:r>
      <w:r>
        <w:t xml:space="preserve">Whether difficult history is named publicly. The Bdote test, and the Amanda-group observation that geographic boundaries are rooted in oppressive history.</w:t>
      </w:r>
    </w:p>
    <w:p>
      <w:pPr>
        <w:spacing w:after="60" w:line="300"/>
        <w:ind w:left="360"/>
      </w:pPr>
      <w:r>
        <w:rPr>
          <w:i/>
          <w:iCs/>
        </w:rPr>
        <w:t xml:space="preserve">Indicators:</w:t>
      </w:r>
    </w:p>
    <w:p>
      <w:pPr>
        <w:pStyle w:val="ListParagraph"/>
        <w:numPr>
          <w:ilvl w:val="1"/>
          <w:numId w:val="2"/>
        </w:numPr>
        <w:spacing w:after="60" w:line="300"/>
      </w:pPr>
      <w:r>
        <w:t xml:space="preserve">Public acknowledgment of difficult history relevant to the place: redlining, displacement, segregation, environmental injustice, Indigenous dispossession, more-than-human history of the land.</w:t>
      </w:r>
    </w:p>
    <w:p>
      <w:pPr>
        <w:pStyle w:val="ListParagraph"/>
        <w:numPr>
          <w:ilvl w:val="1"/>
          <w:numId w:val="2"/>
        </w:numPr>
        <w:spacing w:after="60" w:line="300"/>
      </w:pPr>
      <w:r>
        <w:t xml:space="preserve">Presence of practices, monuments, or programs that surface what was erased.</w:t>
      </w:r>
    </w:p>
    <w:p>
      <w:pPr>
        <w:pStyle w:val="ListParagraph"/>
        <w:numPr>
          <w:ilvl w:val="1"/>
          <w:numId w:val="2"/>
        </w:numPr>
        <w:spacing w:after="60" w:line="300"/>
      </w:pPr>
      <w:r>
        <w:t xml:space="preserve">Visibility of the land-as-witness in public memory: whose lived here before, whose history is in the soil, what the place was before it was the place.</w:t>
      </w:r>
    </w:p>
    <w:p>
      <w:pPr>
        <w:spacing w:after="140" w:before="60" w:line="300"/>
        <w:ind w:left="360"/>
      </w:pPr>
      <w:r>
        <w:rPr>
          <w:i/>
          <w:iCs/>
          <w:color w:val="8B5A00"/>
        </w:rPr>
        <w:t xml:space="preserve">Development note. </w:t>
      </w:r>
      <w:r>
        <w:rPr>
          <w:i/>
          <w:iCs/>
          <w:color w:val="555555"/>
        </w:rPr>
        <w:t xml:space="preserve">Measuring honesty of narrative is partly a question of method: who you ask, how the question is framed, and what counts as “publicly named.” An audit approach (inventorying public markers, programs, and curricula) is feasible. A perceptual approach (surveying residents on whose history they know) is harder but more diagnostic. Development item, and one where partnership with local historians, Indigenous knowledge-holders, and community archivists would be the right path.</w:t>
      </w:r>
    </w:p>
    <w:p>
      <w:pPr>
        <w:spacing w:after="60" w:before="180" w:line="320"/>
      </w:pPr>
      <w:r>
        <w:rPr>
          <w:b/>
          <w:bCs/>
          <w:color w:val="0C7A7A"/>
        </w:rPr>
        <w:t xml:space="preserve">Future-orientation residents have a say in</w:t>
      </w:r>
      <w:r>
        <w:t xml:space="preserve"> — </w:t>
      </w:r>
      <w:r>
        <w:t xml:space="preserve">Whether the neighborhood is moving toward a future shaped by the people who live in it, not only by developers, planners, or external forces.</w:t>
      </w:r>
    </w:p>
    <w:p>
      <w:pPr>
        <w:spacing w:after="60" w:line="300"/>
        <w:ind w:left="360"/>
      </w:pPr>
      <w:r>
        <w:rPr>
          <w:i/>
          <w:iCs/>
        </w:rPr>
        <w:t xml:space="preserve">Indicators:</w:t>
      </w:r>
    </w:p>
    <w:p>
      <w:pPr>
        <w:pStyle w:val="ListParagraph"/>
        <w:numPr>
          <w:ilvl w:val="1"/>
          <w:numId w:val="2"/>
        </w:numPr>
        <w:spacing w:after="60" w:line="300"/>
      </w:pPr>
      <w:r>
        <w:t xml:space="preserve">Presence of articulated visions for the neighborhood’s future held by residents (resident-led plans, community visioning documents, neighborhood goals).</w:t>
      </w:r>
    </w:p>
    <w:p>
      <w:pPr>
        <w:pStyle w:val="ListParagraph"/>
        <w:numPr>
          <w:ilvl w:val="1"/>
          <w:numId w:val="2"/>
        </w:numPr>
        <w:spacing w:after="60" w:line="300"/>
      </w:pPr>
      <w:r>
        <w:t xml:space="preserve">Resident-reported sense of agency over what comes next (survey item).</w:t>
      </w:r>
    </w:p>
    <w:p>
      <w:pPr>
        <w:pStyle w:val="ListParagraph"/>
        <w:numPr>
          <w:ilvl w:val="1"/>
          <w:numId w:val="2"/>
        </w:numPr>
        <w:spacing w:after="60" w:line="300"/>
      </w:pPr>
      <w:r>
        <w:t xml:space="preserve">Proportion of recent significant changes to the neighborhood (development, investment, policy) that included meaningful resident input, by an external measure.</w:t>
      </w:r>
    </w:p>
    <w:p>
      <w:pPr>
        <w:pBdr>
          <w:bottom w:val="single" w:color="BBBBBB" w:sz="6" w:space="6"/>
        </w:pBdr>
        <w:spacing w:after="200" w:before="120"/>
      </w:pPr>
      <w:r>
        <w:t xml:space="preserve"/>
      </w:r>
    </w:p>
    <w:p>
      <w:pPr>
        <w:pStyle w:val="Heading1"/>
        <w:spacing w:after="200" w:before="360"/>
      </w:pPr>
      <w:r>
        <w:t xml:space="preserve">Cross-component attributes — how to handle them without double-counting</w:t>
      </w:r>
    </w:p>
    <w:p>
      <w:pPr>
        <w:spacing w:after="160" w:line="320"/>
      </w:pPr>
      <w:r>
        <w:t xml:space="preserve">Several attributes show up in more than one component. Trust appears explicitly in mutual obligation but is also a precondition for recognition and a function of institutions. Equity of distribution appears as its own attribute in components 2, 4, 5, and 6. Reciprocity threads through obligation and through the give-and-take of recurring shared activity (rhythm). The framework handles these in two ways.</w:t>
      </w:r>
    </w:p>
    <w:p>
      <w:pPr>
        <w:spacing w:after="160" w:line="320"/>
      </w:pPr>
      <w:r>
        <w:rPr>
          <w:b/>
          <w:bCs/>
        </w:rPr>
        <w:t xml:space="preserve">Locate each attribute in its primary component. </w:t>
      </w:r>
      <w:r>
        <w:t xml:space="preserve">Trust is located in mutual obligation, not split across recognition and institutions. Equity-of-distribution is located within each component where exclusion would degrade that specific component. The primary location is where the attribute does its strongest diagnostic work — where its impairment is most directly the impairment of the component itself.</w:t>
      </w:r>
    </w:p>
    <w:p>
      <w:pPr>
        <w:spacing w:after="160" w:line="320"/>
      </w:pPr>
      <w:r>
        <w:rPr>
          <w:b/>
          <w:bCs/>
        </w:rPr>
        <w:t xml:space="preserve">Name the secondary expressions in framing notes, not as separate attributes. </w:t>
      </w:r>
      <w:r>
        <w:t xml:space="preserve">Trust as a precondition for recognition does not need its own KA under recognition; the work is done by the density and resilience attributes. But analysts using the framework should know that low recognition often co-occurs with low trust, and that the two reinforce each other. The framework should make those interactions legible without multiplying the attribute count.</w:t>
      </w:r>
    </w:p>
    <w:p>
      <w:pPr>
        <w:spacing w:after="160" w:line="320"/>
      </w:pPr>
      <w:r>
        <w:t xml:space="preserve">The distribution attributes deserve special attention. They appear in four components (recognition, mutual obligation, common stakes, institutions) because in each case, average measures can hide exclusion. A neighborhood with high average recognition but a recognition desert in one demographic block is not a healthy neighborhood; the average is misleading. The distribution attribute exists in each component to catch this. It is the way the framework holds the “whose we” question without making it a separate target. The pattern is intentional and should not be collapsed.</w:t>
      </w:r>
    </w:p>
    <w:p>
      <w:pPr>
        <w:pBdr>
          <w:bottom w:val="single" w:color="BBBBBB" w:sz="6" w:space="6"/>
        </w:pBdr>
        <w:spacing w:after="200" w:before="120"/>
      </w:pPr>
      <w:r>
        <w:t xml:space="preserve"/>
      </w:r>
    </w:p>
    <w:p>
      <w:pPr>
        <w:pStyle w:val="Heading1"/>
        <w:spacing w:after="200" w:before="360"/>
      </w:pPr>
      <w:r>
        <w:t xml:space="preserve">What is well-instrumented and what needs development</w:t>
      </w:r>
    </w:p>
    <w:p>
      <w:pPr>
        <w:spacing w:after="160" w:line="320"/>
      </w:pPr>
      <w:r>
        <w:t xml:space="preserve">Honest accounting of where this framework can be applied tomorrow versus where it needs work.</w:t>
      </w:r>
    </w:p>
    <w:p>
      <w:pPr>
        <w:pStyle w:val="Heading3"/>
        <w:spacing w:after="100" w:before="200"/>
      </w:pPr>
      <w:r>
        <w:t xml:space="preserve">Field-tested or readily adaptable</w:t>
      </w:r>
    </w:p>
    <w:p>
      <w:pPr>
        <w:spacing w:after="160" w:line="320"/>
      </w:pPr>
      <w:r>
        <w:t xml:space="preserve">These indicators have established instruments or can be assembled from existing data sources:</w:t>
      </w:r>
    </w:p>
    <w:p>
      <w:pPr>
        <w:pStyle w:val="ListParagraph"/>
        <w:numPr>
          <w:ilvl w:val="0"/>
          <w:numId w:val="2"/>
        </w:numPr>
        <w:spacing w:after="100" w:line="300"/>
      </w:pPr>
      <w:r>
        <w:t xml:space="preserve">Walkable infrastructure, walkshed, and transit access — standard urban-planning analyses.</w:t>
      </w:r>
    </w:p>
    <w:p>
      <w:pPr>
        <w:pStyle w:val="ListParagraph"/>
        <w:numPr>
          <w:ilvl w:val="0"/>
          <w:numId w:val="2"/>
        </w:numPr>
        <w:spacing w:after="100" w:line="300"/>
      </w:pPr>
      <w:r>
        <w:t xml:space="preserve">Tree canopy and watershed condition — environmental data, often public.</w:t>
      </w:r>
    </w:p>
    <w:p>
      <w:pPr>
        <w:pStyle w:val="ListParagraph"/>
        <w:numPr>
          <w:ilvl w:val="0"/>
          <w:numId w:val="2"/>
        </w:numPr>
        <w:spacing w:after="100" w:line="300"/>
      </w:pPr>
      <w:r>
        <w:t xml:space="preserve">Collective efficacy and reciprocity — Sampson’s scales are well-validated and widely used.</w:t>
      </w:r>
    </w:p>
    <w:p>
      <w:pPr>
        <w:pStyle w:val="ListParagraph"/>
        <w:numPr>
          <w:ilvl w:val="0"/>
          <w:numId w:val="2"/>
        </w:numPr>
        <w:spacing w:after="100" w:line="300"/>
      </w:pPr>
      <w:r>
        <w:t xml:space="preserve">Institutional inventory — organizational network analysis, including affiliation data.</w:t>
      </w:r>
    </w:p>
    <w:p>
      <w:pPr>
        <w:pStyle w:val="ListParagraph"/>
        <w:numPr>
          <w:ilvl w:val="0"/>
          <w:numId w:val="2"/>
        </w:numPr>
        <w:spacing w:after="100" w:line="300"/>
      </w:pPr>
      <w:r>
        <w:t xml:space="preserve">Civic participation — voting records, meeting attendance, association activity.</w:t>
      </w:r>
    </w:p>
    <w:p>
      <w:pPr>
        <w:pStyle w:val="ListParagraph"/>
        <w:numPr>
          <w:ilvl w:val="0"/>
          <w:numId w:val="2"/>
        </w:numPr>
        <w:spacing w:after="100" w:line="300"/>
      </w:pPr>
      <w:r>
        <w:t xml:space="preserve">Recognition density and distribution — adapted social cohesion scales; doable with a survey.</w:t>
      </w:r>
    </w:p>
    <w:p>
      <w:pPr>
        <w:pStyle w:val="ListParagraph"/>
        <w:numPr>
          <w:ilvl w:val="0"/>
          <w:numId w:val="2"/>
        </w:numPr>
        <w:spacing w:after="100" w:line="300"/>
      </w:pPr>
      <w:r>
        <w:t xml:space="preserve">Continuity of narrative — inventory of public memory artifacts.</w:t>
      </w:r>
    </w:p>
    <w:p>
      <w:pPr>
        <w:pStyle w:val="Heading3"/>
        <w:spacing w:after="100" w:before="200"/>
      </w:pPr>
      <w:r>
        <w:t xml:space="preserve">Tractable but requires deliberate instrument design</w:t>
      </w:r>
    </w:p>
    <w:p>
      <w:pPr>
        <w:spacing w:after="160" w:line="320"/>
      </w:pPr>
      <w:r>
        <w:t xml:space="preserve">These can be measured, but the instruments are not off-the-shelf:</w:t>
      </w:r>
    </w:p>
    <w:p>
      <w:pPr>
        <w:pStyle w:val="ListParagraph"/>
        <w:numPr>
          <w:ilvl w:val="0"/>
          <w:numId w:val="2"/>
        </w:numPr>
        <w:spacing w:after="100" w:line="300"/>
      </w:pPr>
      <w:r>
        <w:t xml:space="preserve">Density and reliability of recurring shared activity — requires building a local inventory and tracking it longitudinally.</w:t>
      </w:r>
    </w:p>
    <w:p>
      <w:pPr>
        <w:pStyle w:val="ListParagraph"/>
        <w:numPr>
          <w:ilvl w:val="0"/>
          <w:numId w:val="2"/>
        </w:numPr>
        <w:spacing w:after="100" w:line="300"/>
      </w:pPr>
      <w:r>
        <w:t xml:space="preserve">Turnover-resilience of recognition — requires a longitudinal or before-after design.</w:t>
      </w:r>
    </w:p>
    <w:p>
      <w:pPr>
        <w:pStyle w:val="ListParagraph"/>
        <w:numPr>
          <w:ilvl w:val="0"/>
          <w:numId w:val="2"/>
        </w:numPr>
        <w:spacing w:after="100" w:line="300"/>
      </w:pPr>
      <w:r>
        <w:t xml:space="preserve">Trust under stress — retrospective designs work; prospective ones require waiting for an event.</w:t>
      </w:r>
    </w:p>
    <w:p>
      <w:pPr>
        <w:pStyle w:val="ListParagraph"/>
        <w:numPr>
          <w:ilvl w:val="0"/>
          <w:numId w:val="2"/>
        </w:numPr>
        <w:spacing w:after="100" w:line="300"/>
      </w:pPr>
      <w:r>
        <w:t xml:space="preserve">Future-orientation residents have a say in — combination of process audit and resident survey.</w:t>
      </w:r>
    </w:p>
    <w:p>
      <w:pPr>
        <w:pStyle w:val="Heading3"/>
        <w:spacing w:after="100" w:before="200"/>
      </w:pPr>
      <w:r>
        <w:t xml:space="preserve">Development items</w:t>
      </w:r>
    </w:p>
    <w:p>
      <w:pPr>
        <w:spacing w:after="160" w:line="320"/>
      </w:pPr>
      <w:r>
        <w:t xml:space="preserve">These attributes are genuinely diagnostic but not yet operationalizable. They should not be dropped for being hard; their absence in a measurement framework is what produces neighborhood metrics that miss the more-than-human, mistake presence for function, and treat narrative as branding.</w:t>
      </w:r>
    </w:p>
    <w:p>
      <w:pPr>
        <w:pStyle w:val="ListParagraph"/>
        <w:numPr>
          <w:ilvl w:val="0"/>
          <w:numId w:val="2"/>
        </w:numPr>
        <w:spacing w:after="100" w:line="300"/>
      </w:pPr>
      <w:r>
        <w:t xml:space="preserve">Inclusion of more-than-human time (attribute 3.3) — phenological and ecological time at the neighborhood scale. No off-the-shelf community-level instrument. Partnership with phenology networks and Indigenous knowledge-holders is the path.</w:t>
      </w:r>
    </w:p>
    <w:p>
      <w:pPr>
        <w:pStyle w:val="ListParagraph"/>
        <w:numPr>
          <w:ilvl w:val="0"/>
          <w:numId w:val="2"/>
        </w:numPr>
        <w:spacing w:after="100" w:line="300"/>
      </w:pPr>
      <w:r>
        <w:t xml:space="preserve">Anchor effectiveness, not just presence (attribute 6.3) — distinguishing real anchoring from institutional shell. Requires instrument design that avoids both nostalgia and dismissal.</w:t>
      </w:r>
    </w:p>
    <w:p>
      <w:pPr>
        <w:pStyle w:val="ListParagraph"/>
        <w:numPr>
          <w:ilvl w:val="0"/>
          <w:numId w:val="2"/>
        </w:numPr>
        <w:spacing w:after="100" w:line="300"/>
      </w:pPr>
      <w:r>
        <w:t xml:space="preserve">Honesty of narrative (attribute 7.2) — a combination of public-memory audit and perceptual survey is feasible, but the right design depends on the place and the partners doing the work.</w:t>
      </w:r>
    </w:p>
    <w:p>
      <w:pPr>
        <w:pBdr>
          <w:bottom w:val="single" w:color="BBBBBB" w:sz="6" w:space="6"/>
        </w:pBdr>
        <w:spacing w:after="200" w:before="120"/>
      </w:pPr>
      <w:r>
        <w:t xml:space="preserve"/>
      </w:r>
    </w:p>
    <w:p>
      <w:pPr>
        <w:pStyle w:val="Heading1"/>
        <w:spacing w:after="200" w:before="360"/>
      </w:pPr>
      <w:r>
        <w:t xml:space="preserve">How a working assessment would run</w:t>
      </w:r>
    </w:p>
    <w:p>
      <w:pPr>
        <w:spacing w:after="160" w:line="320"/>
      </w:pPr>
      <w:r>
        <w:t xml:space="preserve">Sketched as a sequence, not prescribed.</w:t>
      </w:r>
    </w:p>
    <w:p>
      <w:pPr>
        <w:pStyle w:val="ListParagraph"/>
        <w:numPr>
          <w:ilvl w:val="0"/>
          <w:numId w:val="2"/>
        </w:numPr>
        <w:spacing w:after="100" w:line="300"/>
      </w:pPr>
      <w:r>
        <w:rPr>
          <w:b/>
          <w:bCs/>
        </w:rPr>
        <w:t xml:space="preserve">Scope the place. </w:t>
      </w:r>
      <w:r>
        <w:t xml:space="preserve">Decide the boundary of the assessment. The boundary question (Amanda’s group, the “whose we” thread) is in scope from the start, not afterward. A neighborhood boundary set without naming who is included is a measurement choice that will shape every indicator downstream.</w:t>
      </w:r>
    </w:p>
    <w:p>
      <w:pPr>
        <w:pStyle w:val="ListParagraph"/>
        <w:numPr>
          <w:ilvl w:val="0"/>
          <w:numId w:val="2"/>
        </w:numPr>
        <w:spacing w:after="100" w:line="300"/>
      </w:pPr>
      <w:r>
        <w:rPr>
          <w:b/>
          <w:bCs/>
        </w:rPr>
        <w:t xml:space="preserve">Pull the readily available indicators first. </w:t>
      </w:r>
      <w:r>
        <w:t xml:space="preserve">Walkability, canopy, transit, institutional inventory, collective efficacy survey items, civic participation data. This gives a first read on perhaps half the indicators across the seven components.</w:t>
      </w:r>
    </w:p>
    <w:p>
      <w:pPr>
        <w:pStyle w:val="ListParagraph"/>
        <w:numPr>
          <w:ilvl w:val="0"/>
          <w:numId w:val="2"/>
        </w:numPr>
        <w:spacing w:after="100" w:line="300"/>
      </w:pPr>
      <w:r>
        <w:rPr>
          <w:b/>
          <w:bCs/>
        </w:rPr>
        <w:t xml:space="preserve">Design the field-instrument indicators. </w:t>
      </w:r>
      <w:r>
        <w:t xml:space="preserve">Recognition density, turnover-resilience, reciprocity distribution, public-memory audit. A targeted survey plus an artifact audit covers most of these.</w:t>
      </w:r>
    </w:p>
    <w:p>
      <w:pPr>
        <w:pStyle w:val="ListParagraph"/>
        <w:numPr>
          <w:ilvl w:val="0"/>
          <w:numId w:val="2"/>
        </w:numPr>
        <w:spacing w:after="100" w:line="300"/>
      </w:pPr>
      <w:r>
        <w:rPr>
          <w:b/>
          <w:bCs/>
        </w:rPr>
        <w:t xml:space="preserve">Identify what cannot be measured yet. </w:t>
      </w:r>
      <w:r>
        <w:t xml:space="preserve">Flag the development items rather than skipping them. “We do not yet have a measure for the more-than-human rhythm in this place” is a more honest finding than a fabricated number.</w:t>
      </w:r>
    </w:p>
    <w:p>
      <w:pPr>
        <w:pStyle w:val="ListParagraph"/>
        <w:numPr>
          <w:ilvl w:val="0"/>
          <w:numId w:val="2"/>
        </w:numPr>
        <w:spacing w:after="100" w:line="300"/>
      </w:pPr>
      <w:r>
        <w:rPr>
          <w:b/>
          <w:bCs/>
        </w:rPr>
        <w:t xml:space="preserve">Read across components. </w:t>
      </w:r>
      <w:r>
        <w:t xml:space="preserve">The diagnostic value is in the pattern. A place strong on place and institutions but weak on rhythm and obligation is in a different condition than one strong on rhythm and obligation but weak on place and institutions. Each pattern suggests different work.</w:t>
      </w:r>
    </w:p>
    <w:p>
      <w:pPr>
        <w:pStyle w:val="ListParagraph"/>
        <w:numPr>
          <w:ilvl w:val="0"/>
          <w:numId w:val="2"/>
        </w:numPr>
        <w:spacing w:after="100" w:line="300"/>
      </w:pPr>
      <w:r>
        <w:rPr>
          <w:b/>
          <w:bCs/>
        </w:rPr>
        <w:t xml:space="preserve">Calibrate thresholds with the place, not before. </w:t>
      </w:r>
      <w:r>
        <w:t xml:space="preserve">What counts as “good” recognition density in one neighborhood is not the same in another. The cohort, or the client, helps set the threshold. The framework supplies the indicator.</w:t>
      </w:r>
    </w:p>
    <w:p>
      <w:pPr>
        <w:spacing w:after="160" w:line="320"/>
      </w:pPr>
      <w:r>
        <w:t xml:space="preserve">One thing to hold in view across all of this. The framework is a draft. It will be wrong in places that only become visible when applied. The honest path is to use it against a real place — perhaps the Flagstaff UtilityGraph work, or a TNN-member neighborhood — and let the application reveal what needs revision. The seven components and their attributes are working tools, not a final structure.</w:t>
      </w:r>
    </w:p>
    <w:p>
      <w:pPr>
        <w:pBdr>
          <w:bottom w:val="single" w:color="BBBBBB" w:sz="6" w:space="6"/>
        </w:pBdr>
        <w:spacing w:after="200" w:before="120"/>
      </w:pPr>
      <w:r>
        <w:t xml:space="preserve"/>
      </w:r>
    </w:p>
    <w:p>
      <w:pPr>
        <w:pBdr>
          <w:left w:val="single" w:color="EB9001" w:sz="18" w:space="12"/>
        </w:pBdr>
        <w:spacing w:after="180" w:before="120" w:line="320"/>
        <w:ind w:left="360" w:right="360"/>
      </w:pPr>
      <w:r>
        <w:t xml:space="preserve">A component is healthy when its key attributes are functioning. A neighborhood is thriving when all seven components are healthy. Where a component is weak, the attributes show where. Where the attributes are weak, the indicators show what to look at.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825BE"/>
      <w:sz w:val="32"/>
      <w:szCs w:val="32"/>
    </w:rPr>
  </w:style>
  <w:style w:type="paragraph" w:styleId="Heading2">
    <w:name w:val="Heading 2"/>
    <w:basedOn w:val="Normal"/>
    <w:next w:val="Normal"/>
    <w:qFormat/>
    <w:pPr>
      <w:spacing w:after="140" w:before="320"/>
      <w:outlineLvl w:val="1"/>
    </w:pPr>
    <w:rPr>
      <w:rFonts w:ascii="Arial" w:cs="Arial" w:eastAsia="Arial" w:hAnsi="Arial"/>
      <w:b/>
      <w:bCs/>
      <w:color w:val="0C7A7A"/>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Attributes of the seven components</dc:title>
  <dc:creator>Connecting for Change</dc:creator>
  <dc:description>KEA-style attribute set for the neighborhood target framework</dc:description>
  <cp:lastModifiedBy>Un-named</cp:lastModifiedBy>
  <cp:revision>1</cp:revision>
  <dcterms:created xsi:type="dcterms:W3CDTF">2026-05-29T16:07:44.197Z</dcterms:created>
  <dcterms:modified xsi:type="dcterms:W3CDTF">2026-05-29T16:07:44.220Z</dcterms:modified>
</cp:coreProperties>
</file>

<file path=docProps/custom.xml><?xml version="1.0" encoding="utf-8"?>
<Properties xmlns="http://schemas.openxmlformats.org/officeDocument/2006/custom-properties" xmlns:vt="http://schemas.openxmlformats.org/officeDocument/2006/docPropsVTypes"/>
</file>